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50" w:type="dxa"/>
        <w:tblCellSpacing w:w="0" w:type="dxa"/>
        <w:tblCellMar>
          <w:left w:w="0" w:type="dxa"/>
          <w:right w:w="0" w:type="dxa"/>
        </w:tblCellMar>
        <w:tblLook w:val="04A0" w:firstRow="1" w:lastRow="0" w:firstColumn="1" w:lastColumn="0" w:noHBand="0" w:noVBand="1"/>
      </w:tblPr>
      <w:tblGrid>
        <w:gridCol w:w="9750"/>
      </w:tblGrid>
      <w:tr w:rsidR="00E541A6" w14:paraId="45E8595D" w14:textId="77777777" w:rsidTr="00E541A6">
        <w:trPr>
          <w:tblCellSpacing w:w="0" w:type="dxa"/>
        </w:trPr>
        <w:tc>
          <w:tcPr>
            <w:tcW w:w="9750" w:type="dxa"/>
          </w:tcPr>
          <w:tbl>
            <w:tblPr>
              <w:tblW w:w="9750" w:type="dxa"/>
              <w:tblCellSpacing w:w="0" w:type="dxa"/>
              <w:tblCellMar>
                <w:left w:w="0" w:type="dxa"/>
                <w:right w:w="0" w:type="dxa"/>
              </w:tblCellMar>
              <w:tblLook w:val="04A0" w:firstRow="1" w:lastRow="0" w:firstColumn="1" w:lastColumn="0" w:noHBand="0" w:noVBand="1"/>
            </w:tblPr>
            <w:tblGrid>
              <w:gridCol w:w="3000"/>
              <w:gridCol w:w="5115"/>
              <w:gridCol w:w="1635"/>
            </w:tblGrid>
            <w:tr w:rsidR="00E541A6" w14:paraId="4AFADB5E" w14:textId="77777777">
              <w:trPr>
                <w:tblCellSpacing w:w="0" w:type="dxa"/>
              </w:trPr>
              <w:tc>
                <w:tcPr>
                  <w:tcW w:w="3000" w:type="dxa"/>
                  <w:vAlign w:val="center"/>
                  <w:hideMark/>
                </w:tcPr>
                <w:p w14:paraId="10AF1D72" w14:textId="06BCDDE1" w:rsidR="00E541A6" w:rsidRDefault="00E541A6">
                  <w:pPr>
                    <w:rPr>
                      <w:rFonts w:eastAsia="Times New Roman"/>
                    </w:rPr>
                  </w:pPr>
                  <w:r>
                    <w:rPr>
                      <w:rFonts w:eastAsia="Times New Roman"/>
                      <w:noProof/>
                      <w:color w:val="4B98D7"/>
                    </w:rPr>
                    <w:drawing>
                      <wp:inline distT="0" distB="0" distL="0" distR="0" wp14:anchorId="6C346858" wp14:editId="42F9DDC0">
                        <wp:extent cx="1752600" cy="480060"/>
                        <wp:effectExtent l="0" t="0" r="0" b="0"/>
                        <wp:docPr id="3" name="Immagine 3">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480060"/>
                                </a:xfrm>
                                <a:prstGeom prst="rect">
                                  <a:avLst/>
                                </a:prstGeom>
                                <a:noFill/>
                                <a:ln>
                                  <a:noFill/>
                                </a:ln>
                              </pic:spPr>
                            </pic:pic>
                          </a:graphicData>
                        </a:graphic>
                      </wp:inline>
                    </w:drawing>
                  </w:r>
                  <w:r>
                    <w:rPr>
                      <w:rFonts w:eastAsia="Times New Roman"/>
                    </w:rPr>
                    <w:br/>
                    <w:t> </w:t>
                  </w:r>
                </w:p>
              </w:tc>
              <w:tc>
                <w:tcPr>
                  <w:tcW w:w="0" w:type="auto"/>
                  <w:vAlign w:val="center"/>
                  <w:hideMark/>
                </w:tcPr>
                <w:p w14:paraId="2909661F" w14:textId="77777777" w:rsidR="00E541A6" w:rsidRDefault="00E541A6">
                  <w:pPr>
                    <w:rPr>
                      <w:rFonts w:eastAsia="Times New Roman"/>
                    </w:rPr>
                  </w:pPr>
                  <w:r>
                    <w:rPr>
                      <w:rFonts w:eastAsia="Times New Roman"/>
                    </w:rPr>
                    <w:t> </w:t>
                  </w:r>
                </w:p>
              </w:tc>
              <w:tc>
                <w:tcPr>
                  <w:tcW w:w="1635" w:type="dxa"/>
                  <w:vAlign w:val="bottom"/>
                  <w:hideMark/>
                </w:tcPr>
                <w:p w14:paraId="689F8694" w14:textId="77777777" w:rsidR="00E541A6" w:rsidRDefault="00E541A6">
                  <w:pPr>
                    <w:pStyle w:val="text"/>
                    <w:jc w:val="center"/>
                  </w:pPr>
                  <w:r>
                    <w:t>15 settembre 2020</w:t>
                  </w:r>
                </w:p>
              </w:tc>
            </w:tr>
          </w:tbl>
          <w:p w14:paraId="14BE8BCE" w14:textId="77777777" w:rsidR="00E541A6" w:rsidRDefault="00E541A6">
            <w:pPr>
              <w:rPr>
                <w:rFonts w:eastAsia="Times New Roman"/>
                <w:vanish/>
              </w:rPr>
            </w:pPr>
          </w:p>
          <w:tbl>
            <w:tblPr>
              <w:tblW w:w="9750" w:type="dxa"/>
              <w:tblCellSpacing w:w="0" w:type="dxa"/>
              <w:tblCellMar>
                <w:left w:w="0" w:type="dxa"/>
                <w:right w:w="0" w:type="dxa"/>
              </w:tblCellMar>
              <w:tblLook w:val="04A0" w:firstRow="1" w:lastRow="0" w:firstColumn="1" w:lastColumn="0" w:noHBand="0" w:noVBand="1"/>
            </w:tblPr>
            <w:tblGrid>
              <w:gridCol w:w="8629"/>
              <w:gridCol w:w="1121"/>
            </w:tblGrid>
            <w:tr w:rsidR="00E541A6" w14:paraId="3881A259" w14:textId="77777777">
              <w:trPr>
                <w:tblCellSpacing w:w="0" w:type="dxa"/>
              </w:trPr>
              <w:tc>
                <w:tcPr>
                  <w:tcW w:w="0" w:type="auto"/>
                  <w:tcBorders>
                    <w:top w:val="single" w:sz="6" w:space="0" w:color="auto"/>
                    <w:left w:val="nil"/>
                    <w:bottom w:val="nil"/>
                    <w:right w:val="nil"/>
                  </w:tcBorders>
                  <w:vAlign w:val="center"/>
                  <w:hideMark/>
                </w:tcPr>
                <w:p w14:paraId="6D060B77" w14:textId="77777777" w:rsidR="00E541A6" w:rsidRDefault="00E541A6">
                  <w:pPr>
                    <w:pStyle w:val="Titolo1"/>
                    <w:rPr>
                      <w:rFonts w:eastAsia="Times New Roman"/>
                    </w:rPr>
                  </w:pPr>
                  <w:r>
                    <w:rPr>
                      <w:rFonts w:eastAsia="Times New Roman"/>
                    </w:rPr>
                    <w:t>Newsletter</w:t>
                  </w:r>
                </w:p>
                <w:p w14:paraId="1BF2C5D3" w14:textId="77777777" w:rsidR="00E541A6" w:rsidRDefault="00E541A6">
                  <w:pPr>
                    <w:pStyle w:val="Titolo5"/>
                    <w:rPr>
                      <w:rFonts w:eastAsia="Times New Roman"/>
                    </w:rPr>
                  </w:pPr>
                  <w:hyperlink r:id="rId6" w:history="1">
                    <w:r>
                      <w:rPr>
                        <w:rStyle w:val="Collegamentoipertestuale"/>
                        <w:rFonts w:eastAsia="Times New Roman"/>
                      </w:rPr>
                      <w:t>Laboratorio cantonale</w:t>
                    </w:r>
                  </w:hyperlink>
                </w:p>
              </w:tc>
              <w:tc>
                <w:tcPr>
                  <w:tcW w:w="780" w:type="dxa"/>
                  <w:tcBorders>
                    <w:top w:val="single" w:sz="6" w:space="0" w:color="auto"/>
                    <w:left w:val="nil"/>
                    <w:bottom w:val="nil"/>
                    <w:right w:val="nil"/>
                  </w:tcBorders>
                  <w:vAlign w:val="bottom"/>
                  <w:hideMark/>
                </w:tcPr>
                <w:p w14:paraId="4B9BF137" w14:textId="77777777" w:rsidR="00E541A6" w:rsidRDefault="00E541A6">
                  <w:pPr>
                    <w:spacing w:line="1650" w:lineRule="atLeast"/>
                    <w:jc w:val="center"/>
                    <w:rPr>
                      <w:rFonts w:ascii="Helvetica" w:eastAsia="Times New Roman" w:hAnsi="Helvetica" w:cs="Helvetica"/>
                      <w:b/>
                      <w:bCs/>
                      <w:color w:val="000000"/>
                      <w:sz w:val="42"/>
                      <w:szCs w:val="42"/>
                    </w:rPr>
                  </w:pPr>
                  <w:r>
                    <w:rPr>
                      <w:rFonts w:ascii="Helvetica" w:eastAsia="Times New Roman" w:hAnsi="Helvetica" w:cs="Helvetica"/>
                      <w:b/>
                      <w:bCs/>
                      <w:color w:val="000000"/>
                      <w:sz w:val="42"/>
                      <w:szCs w:val="42"/>
                    </w:rPr>
                    <w:t>N.139</w:t>
                  </w:r>
                </w:p>
              </w:tc>
            </w:tr>
          </w:tbl>
          <w:p w14:paraId="603E023A" w14:textId="77777777" w:rsidR="00E541A6" w:rsidRDefault="00E541A6">
            <w:pPr>
              <w:rPr>
                <w:rFonts w:ascii="Times New Roman" w:eastAsia="Times New Roman" w:hAnsi="Times New Roman" w:cs="Times New Roman"/>
                <w:sz w:val="20"/>
                <w:szCs w:val="20"/>
              </w:rPr>
            </w:pPr>
          </w:p>
        </w:tc>
      </w:tr>
      <w:tr w:rsidR="00E541A6" w14:paraId="440098F7" w14:textId="77777777" w:rsidTr="00E541A6">
        <w:trPr>
          <w:trHeight w:val="600"/>
          <w:tblCellSpacing w:w="0" w:type="dxa"/>
        </w:trPr>
        <w:tc>
          <w:tcPr>
            <w:tcW w:w="0" w:type="auto"/>
            <w:tcBorders>
              <w:top w:val="single" w:sz="6" w:space="0" w:color="auto"/>
              <w:left w:val="nil"/>
              <w:bottom w:val="nil"/>
              <w:right w:val="nil"/>
            </w:tcBorders>
            <w:vAlign w:val="center"/>
            <w:hideMark/>
          </w:tcPr>
          <w:p w14:paraId="7DB92D02" w14:textId="77777777" w:rsidR="00E541A6" w:rsidRDefault="00E541A6">
            <w:pPr>
              <w:rPr>
                <w:rFonts w:eastAsia="Times New Roman"/>
              </w:rPr>
            </w:pPr>
            <w:r>
              <w:rPr>
                <w:rFonts w:eastAsia="Times New Roman"/>
              </w:rPr>
              <w:t> </w:t>
            </w:r>
          </w:p>
        </w:tc>
      </w:tr>
    </w:tbl>
    <w:p w14:paraId="65F923A7" w14:textId="77777777" w:rsidR="00E541A6" w:rsidRDefault="00E541A6" w:rsidP="00E541A6">
      <w:pPr>
        <w:rPr>
          <w:rFonts w:eastAsia="Times New Roman"/>
          <w:vanish/>
        </w:rPr>
      </w:pPr>
    </w:p>
    <w:tbl>
      <w:tblPr>
        <w:tblW w:w="9750" w:type="dxa"/>
        <w:tblCellSpacing w:w="0" w:type="dxa"/>
        <w:tblCellMar>
          <w:left w:w="0" w:type="dxa"/>
          <w:right w:w="0" w:type="dxa"/>
        </w:tblCellMar>
        <w:tblLook w:val="04A0" w:firstRow="1" w:lastRow="0" w:firstColumn="1" w:lastColumn="0" w:noHBand="0" w:noVBand="1"/>
      </w:tblPr>
      <w:tblGrid>
        <w:gridCol w:w="9750"/>
      </w:tblGrid>
      <w:tr w:rsidR="00E541A6" w14:paraId="70AADCDB" w14:textId="77777777" w:rsidTr="00E541A6">
        <w:trPr>
          <w:tblCellSpacing w:w="0" w:type="dxa"/>
        </w:trPr>
        <w:tc>
          <w:tcPr>
            <w:tcW w:w="0" w:type="auto"/>
            <w:vAlign w:val="center"/>
          </w:tcPr>
          <w:tbl>
            <w:tblPr>
              <w:tblW w:w="9750" w:type="dxa"/>
              <w:tblCellSpacing w:w="0" w:type="dxa"/>
              <w:tblCellMar>
                <w:left w:w="0" w:type="dxa"/>
                <w:right w:w="0" w:type="dxa"/>
              </w:tblCellMar>
              <w:tblLook w:val="04A0" w:firstRow="1" w:lastRow="0" w:firstColumn="1" w:lastColumn="0" w:noHBand="0" w:noVBand="1"/>
            </w:tblPr>
            <w:tblGrid>
              <w:gridCol w:w="9750"/>
            </w:tblGrid>
            <w:tr w:rsidR="00E541A6" w14:paraId="4DED7F48" w14:textId="77777777">
              <w:trPr>
                <w:tblCellSpacing w:w="0" w:type="dxa"/>
              </w:trPr>
              <w:tc>
                <w:tcPr>
                  <w:tcW w:w="1650" w:type="pct"/>
                  <w:vAlign w:val="center"/>
                  <w:hideMark/>
                </w:tcPr>
                <w:p w14:paraId="21D9BB66" w14:textId="77777777" w:rsidR="00E541A6" w:rsidRDefault="00E541A6">
                  <w:pPr>
                    <w:pStyle w:val="Titolo3"/>
                    <w:rPr>
                      <w:rFonts w:eastAsia="Times New Roman"/>
                    </w:rPr>
                  </w:pPr>
                  <w:r>
                    <w:rPr>
                      <w:rFonts w:eastAsia="Times New Roman"/>
                      <w:shd w:val="clear" w:color="auto" w:fill="D84C9B"/>
                    </w:rPr>
                    <w:t xml:space="preserve"> News  </w:t>
                  </w:r>
                </w:p>
                <w:tbl>
                  <w:tblPr>
                    <w:tblpPr w:leftFromText="45" w:rightFromText="45" w:topFromText="150" w:vertAnchor="text"/>
                    <w:tblW w:w="5000" w:type="pct"/>
                    <w:tblCellSpacing w:w="0" w:type="dxa"/>
                    <w:tblCellMar>
                      <w:top w:w="96" w:type="dxa"/>
                      <w:left w:w="96" w:type="dxa"/>
                      <w:bottom w:w="96" w:type="dxa"/>
                      <w:right w:w="96" w:type="dxa"/>
                    </w:tblCellMar>
                    <w:tblLook w:val="04A0" w:firstRow="1" w:lastRow="0" w:firstColumn="1" w:lastColumn="0" w:noHBand="0" w:noVBand="1"/>
                  </w:tblPr>
                  <w:tblGrid>
                    <w:gridCol w:w="9750"/>
                  </w:tblGrid>
                  <w:tr w:rsidR="00E541A6" w14:paraId="6BC5094A" w14:textId="77777777">
                    <w:trPr>
                      <w:tblCellSpacing w:w="0" w:type="dxa"/>
                    </w:trPr>
                    <w:tc>
                      <w:tcPr>
                        <w:tcW w:w="9750" w:type="dxa"/>
                        <w:tcBorders>
                          <w:top w:val="single" w:sz="6" w:space="0" w:color="auto"/>
                          <w:left w:val="nil"/>
                          <w:bottom w:val="nil"/>
                          <w:right w:val="nil"/>
                        </w:tcBorders>
                        <w:hideMark/>
                      </w:tcPr>
                      <w:p w14:paraId="38F709F4" w14:textId="77777777" w:rsidR="00E541A6" w:rsidRDefault="00E541A6">
                        <w:pPr>
                          <w:pStyle w:val="Titolo2"/>
                          <w:rPr>
                            <w:rFonts w:eastAsia="Times New Roman"/>
                          </w:rPr>
                        </w:pPr>
                        <w:r>
                          <w:rPr>
                            <w:rFonts w:eastAsia="Times New Roman"/>
                          </w:rPr>
                          <w:lastRenderedPageBreak/>
                          <w:t>01. Campagna balneazione</w:t>
                        </w:r>
                      </w:p>
                      <w:p w14:paraId="78459D92" w14:textId="069E54A6" w:rsidR="00E541A6" w:rsidRDefault="00E541A6">
                        <w:pPr>
                          <w:rPr>
                            <w:rFonts w:eastAsia="Times New Roman"/>
                          </w:rPr>
                        </w:pPr>
                        <w:r>
                          <w:rPr>
                            <w:rFonts w:eastAsia="Times New Roman"/>
                            <w:noProof/>
                          </w:rPr>
                          <w:drawing>
                            <wp:inline distT="0" distB="0" distL="0" distR="0" wp14:anchorId="3193D9D4" wp14:editId="43A75CC2">
                              <wp:extent cx="3002280" cy="223266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280" cy="2232660"/>
                                      </a:xfrm>
                                      <a:prstGeom prst="rect">
                                        <a:avLst/>
                                      </a:prstGeom>
                                      <a:noFill/>
                                      <a:ln>
                                        <a:noFill/>
                                      </a:ln>
                                    </pic:spPr>
                                  </pic:pic>
                                </a:graphicData>
                              </a:graphic>
                            </wp:inline>
                          </w:drawing>
                        </w:r>
                      </w:p>
                      <w:p w14:paraId="21BAD244" w14:textId="77777777" w:rsidR="00E541A6" w:rsidRDefault="00E541A6">
                        <w:pPr>
                          <w:pStyle w:val="NormaleWeb"/>
                        </w:pPr>
                        <w:r>
                          <w:t xml:space="preserve">Durante la stagione balneare la legge prevede controlli ufficiali della qualità dell'acqua prospiciente spiagge organizzate.  Conformemente al </w:t>
                        </w:r>
                        <w:hyperlink r:id="rId8" w:tgtFrame="_blank" w:history="1">
                          <w:r>
                            <w:rPr>
                              <w:rStyle w:val="Collegamentoipertestuale"/>
                            </w:rPr>
                            <w:t>Regolamento sull' igiene delle acque balneabili lacustri e fluviali</w:t>
                          </w:r>
                        </w:hyperlink>
                        <w:r>
                          <w:t xml:space="preserve"> (del 12 luglio 2011, modifica del 14 giugno 2013),  il controllo e la valutazione di queste acque di balneazione sono di competenza del Laboratorio cantonale che applica modalità e criteri previsti nel documento </w:t>
                        </w:r>
                        <w:hyperlink r:id="rId9" w:tgtFrame="_blank" w:history="1">
                          <w:r>
                            <w:rPr>
                              <w:rStyle w:val="Collegamentoipertestuale"/>
                            </w:rPr>
                            <w:t>«Valutazione delle acque di balneazione - Raccomandazioni concernenti il rilevamento e la valutazione della qualità delle acque di siti di balneazione lacustri e fluviali»</w:t>
                          </w:r>
                        </w:hyperlink>
                        <w:r>
                          <w:t xml:space="preserve"> pubblicato dagli uffici federali dell'ambiente (UFAM) e della sanità pubblica (UFSP). Il Laboratorio cantonale decide i provvedimenti per proteggere i bagnanti come da raccomandazioni contenute nel citato documento.</w:t>
                        </w:r>
                      </w:p>
                      <w:p w14:paraId="172147A8" w14:textId="77777777" w:rsidR="00E541A6" w:rsidRDefault="00E541A6">
                        <w:pPr>
                          <w:pStyle w:val="NormaleWeb"/>
                        </w:pPr>
                        <w:r>
                          <w:t>Con la serie d’inizio settembre si è conclusa la campagna stagionale di prelevamenti e analisi relativa ai punti di monitoraggio che quest’anno sono stati 84.</w:t>
                        </w:r>
                      </w:p>
                      <w:p w14:paraId="72C6C069" w14:textId="77777777" w:rsidR="00E541A6" w:rsidRDefault="00E541A6">
                        <w:pPr>
                          <w:pStyle w:val="NormaleWeb"/>
                        </w:pPr>
                        <w:r>
                          <w:t>Oltre ai consueti prelievi (laghi Verbano e Ceresio, laghetto di Astano, fiumi Ticino/</w:t>
                        </w:r>
                        <w:proofErr w:type="spellStart"/>
                        <w:r>
                          <w:t>Moesa</w:t>
                        </w:r>
                        <w:proofErr w:type="spellEnd"/>
                        <w:r>
                          <w:t xml:space="preserve">, Verzasca e Maggia), da quest’anno sono stati introdotti </w:t>
                        </w:r>
                        <w:proofErr w:type="gramStart"/>
                        <w:r>
                          <w:t>5</w:t>
                        </w:r>
                        <w:proofErr w:type="gramEnd"/>
                        <w:r>
                          <w:t xml:space="preserve"> nuovi punti di campionamento:</w:t>
                        </w:r>
                      </w:p>
                      <w:p w14:paraId="4DD067D1" w14:textId="77777777" w:rsidR="00E541A6" w:rsidRDefault="00E541A6">
                        <w:pPr>
                          <w:pStyle w:val="NormaleWeb"/>
                        </w:pPr>
                        <w:r>
                          <w:t>•    </w:t>
                        </w:r>
                        <w:proofErr w:type="spellStart"/>
                        <w:r>
                          <w:t>Cevio</w:t>
                        </w:r>
                        <w:proofErr w:type="spellEnd"/>
                        <w:r>
                          <w:t xml:space="preserve">, zona </w:t>
                        </w:r>
                        <w:proofErr w:type="spellStart"/>
                        <w:r>
                          <w:t>Visletto</w:t>
                        </w:r>
                        <w:proofErr w:type="spellEnd"/>
                      </w:p>
                      <w:p w14:paraId="4F2B9783" w14:textId="77777777" w:rsidR="00E541A6" w:rsidRDefault="00E541A6">
                        <w:pPr>
                          <w:pStyle w:val="NormaleWeb"/>
                        </w:pPr>
                        <w:r>
                          <w:t>•    Maggia, zona Coop  </w:t>
                        </w:r>
                      </w:p>
                      <w:p w14:paraId="56606D95" w14:textId="77777777" w:rsidR="00E541A6" w:rsidRDefault="00E541A6">
                        <w:pPr>
                          <w:pStyle w:val="NormaleWeb"/>
                        </w:pPr>
                        <w:r>
                          <w:t xml:space="preserve">•    Biasca, zona grotti di </w:t>
                        </w:r>
                        <w:proofErr w:type="spellStart"/>
                        <w:r>
                          <w:t>Loderio</w:t>
                        </w:r>
                        <w:proofErr w:type="spellEnd"/>
                      </w:p>
                      <w:p w14:paraId="4C58C3AC" w14:textId="77777777" w:rsidR="00E541A6" w:rsidRDefault="00E541A6">
                        <w:pPr>
                          <w:pStyle w:val="NormaleWeb"/>
                        </w:pPr>
                        <w:r>
                          <w:t xml:space="preserve">•    Faido, zona cascata della </w:t>
                        </w:r>
                        <w:proofErr w:type="spellStart"/>
                        <w:r>
                          <w:t>Piumogna</w:t>
                        </w:r>
                        <w:proofErr w:type="spellEnd"/>
                      </w:p>
                      <w:p w14:paraId="04576F76" w14:textId="77777777" w:rsidR="00E541A6" w:rsidRDefault="00E541A6">
                        <w:pPr>
                          <w:pStyle w:val="NormaleWeb"/>
                        </w:pPr>
                        <w:r>
                          <w:t>•    </w:t>
                        </w:r>
                        <w:proofErr w:type="spellStart"/>
                        <w:r>
                          <w:t>Osogna</w:t>
                        </w:r>
                        <w:proofErr w:type="spellEnd"/>
                        <w:r>
                          <w:t>, pozzo.</w:t>
                        </w:r>
                      </w:p>
                      <w:p w14:paraId="295BAA68" w14:textId="77777777" w:rsidR="00E541A6" w:rsidRDefault="00E541A6">
                        <w:pPr>
                          <w:pStyle w:val="NormaleWeb"/>
                          <w:spacing w:after="240"/>
                        </w:pPr>
                        <w:r>
                          <w:rPr>
                            <w:rStyle w:val="Enfasicorsivo"/>
                          </w:rPr>
                          <w:t>Tutti i risultati di questa serie confermano come le acque di balneazione in Ticino siano su alti livelli di qualità, anche in periodi con forti precipitazioni e quindi notevole apporto di materiale. I risultati sono pubblicati sulla pagina dedicata alla balneabilità dell'</w:t>
                        </w:r>
                        <w:hyperlink r:id="rId10" w:tgtFrame="_blank" w:history="1">
                          <w:r>
                            <w:rPr>
                              <w:rStyle w:val="Collegamentoipertestuale"/>
                              <w:i/>
                              <w:iCs/>
                            </w:rPr>
                            <w:t>Osservatorio Ambientale della Svizzera Italiana (OASI)</w:t>
                          </w:r>
                        </w:hyperlink>
                        <w:r>
                          <w:rPr>
                            <w:rStyle w:val="Enfasicorsivo"/>
                          </w:rPr>
                          <w:t>. Resta invece problematica la situazione riguardo alla presenza di cianobatteri nel lago Ceresio (vedi notizia seguente).</w:t>
                        </w:r>
                        <w:r>
                          <w:br/>
                        </w:r>
                        <w:r>
                          <w:br/>
                          <w:t xml:space="preserve">Informazioni dettagliate sui criteri di valutazione, sui provvedimenti in caso di situazioni inaspettate che potrebbero influire negativamente sulla qualità delle acque e sulla salute dei bagnanti (p. es. inquinamenti di breve durata o situazioni anomale), </w:t>
                        </w:r>
                        <w:proofErr w:type="spellStart"/>
                        <w:r>
                          <w:t>nonchè</w:t>
                        </w:r>
                        <w:proofErr w:type="spellEnd"/>
                        <w:r>
                          <w:t xml:space="preserve"> su come il </w:t>
                        </w:r>
                        <w:r>
                          <w:lastRenderedPageBreak/>
                          <w:t xml:space="preserve">sistema di monitoraggio ticinese è inserito nel contesto europeo sono visibili alla </w:t>
                        </w:r>
                        <w:hyperlink r:id="rId11" w:tgtFrame="_blank" w:history="1">
                          <w:r>
                            <w:rPr>
                              <w:rStyle w:val="Collegamentoipertestuale"/>
                            </w:rPr>
                            <w:t>pagina specifica dedicata alle spiagge del sito web del Laboratorio cantonale</w:t>
                          </w:r>
                        </w:hyperlink>
                        <w:r>
                          <w:t>.</w:t>
                        </w:r>
                        <w:r>
                          <w:br/>
                        </w:r>
                      </w:p>
                      <w:p w14:paraId="3CA51586" w14:textId="77777777" w:rsidR="00E541A6" w:rsidRDefault="00E541A6">
                        <w:pPr>
                          <w:pStyle w:val="Titolo2"/>
                          <w:rPr>
                            <w:rFonts w:eastAsia="Times New Roman"/>
                          </w:rPr>
                        </w:pPr>
                        <w:r>
                          <w:rPr>
                            <w:rFonts w:eastAsia="Times New Roman"/>
                          </w:rPr>
                          <w:t>02. Fioritura algale nel Ceresio</w:t>
                        </w:r>
                      </w:p>
                      <w:p w14:paraId="243782EF" w14:textId="67CA516F" w:rsidR="00E541A6" w:rsidRDefault="00E541A6">
                        <w:pPr>
                          <w:rPr>
                            <w:rFonts w:eastAsia="Times New Roman"/>
                          </w:rPr>
                        </w:pPr>
                        <w:r>
                          <w:rPr>
                            <w:rFonts w:eastAsia="Times New Roman"/>
                            <w:noProof/>
                          </w:rPr>
                          <w:drawing>
                            <wp:inline distT="0" distB="0" distL="0" distR="0" wp14:anchorId="10185630" wp14:editId="535B11E5">
                              <wp:extent cx="2987040" cy="2240280"/>
                              <wp:effectExtent l="0" t="0" r="381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7040" cy="2240280"/>
                                      </a:xfrm>
                                      <a:prstGeom prst="rect">
                                        <a:avLst/>
                                      </a:prstGeom>
                                      <a:noFill/>
                                      <a:ln>
                                        <a:noFill/>
                                      </a:ln>
                                    </pic:spPr>
                                  </pic:pic>
                                </a:graphicData>
                              </a:graphic>
                            </wp:inline>
                          </w:drawing>
                        </w:r>
                      </w:p>
                      <w:p w14:paraId="00A6C8B8" w14:textId="77777777" w:rsidR="00E541A6" w:rsidRDefault="00E541A6">
                        <w:pPr>
                          <w:pStyle w:val="NormaleWeb"/>
                        </w:pPr>
                        <w:r>
                          <w:t xml:space="preserve">Agli inizi di settembre è stata rilevata, in particolare nella zona del golfo di Agno, un’importante fioritura algale. Le analisi effettuate dall’Istituto scienze della Terra della SUPSI hanno confermato la presenza di </w:t>
                        </w:r>
                        <w:proofErr w:type="spellStart"/>
                        <w:r>
                          <w:t>Microcystis</w:t>
                        </w:r>
                        <w:proofErr w:type="spellEnd"/>
                        <w:r>
                          <w:t xml:space="preserve">  aeruginosa. Si tratta di un’alga azzurra naturalmente presente nel Lago di Lugano in grado di produrre tossine (chiamate </w:t>
                        </w:r>
                        <w:proofErr w:type="spellStart"/>
                        <w:r>
                          <w:t>microcistine</w:t>
                        </w:r>
                        <w:proofErr w:type="spellEnd"/>
                        <w:r>
                          <w:t xml:space="preserve">) che, se presenti in alte concentrazioni, possono indurre reazioni allergiche cutanee, sintomi gastrointestinali </w:t>
                        </w:r>
                        <w:proofErr w:type="gramStart"/>
                        <w:r>
                          <w:t>e</w:t>
                        </w:r>
                        <w:proofErr w:type="gramEnd"/>
                        <w:r>
                          <w:t xml:space="preserve"> effetti epatotossici.</w:t>
                        </w:r>
                      </w:p>
                      <w:p w14:paraId="196EEFAC" w14:textId="77777777" w:rsidR="00E541A6" w:rsidRDefault="00E541A6">
                        <w:pPr>
                          <w:pStyle w:val="NormaleWeb"/>
                        </w:pPr>
                        <w:r>
                          <w:t>Le particolari condizioni metereologiche che hanno caratterizzato questo periodo ne hanno favorito la propagazione in tutto il Ceresio. Forti presenze sono segnalate in tutto il bacino sud, ma anche nel bacino nord vi sono i primi avvistamenti. Le zone caratterizzate dagli accumuli possono cambiare molto velocemente in base agli influssi metereologici (vento, correnti, ecc.) e interessare sia le spiagge che l'interno del lago.</w:t>
                        </w:r>
                      </w:p>
                      <w:p w14:paraId="4FED4F22" w14:textId="77777777" w:rsidR="00E541A6" w:rsidRDefault="00E541A6">
                        <w:pPr>
                          <w:pStyle w:val="NormaleWeb"/>
                        </w:pPr>
                        <w:r>
                          <w:t xml:space="preserve">A titolo precauzionale </w:t>
                        </w:r>
                        <w:r>
                          <w:rPr>
                            <w:u w:val="single"/>
                          </w:rPr>
                          <w:t>resta vivamente sconsigliata la balneazione e l’abbeveramento di animali nelle zone di lago interessate dalla fioritura algale</w:t>
                        </w:r>
                        <w:r>
                          <w:t>. Questa è caratterizzata dalla presenza di ammassi galleggianti molto vistosi di colore  verde. In prossimità degli ammassi possono essere presenti anche schiume o masse filamentose.</w:t>
                        </w:r>
                      </w:p>
                      <w:p w14:paraId="5E01B2CA" w14:textId="77777777" w:rsidR="00E541A6" w:rsidRDefault="00E541A6">
                        <w:pPr>
                          <w:pStyle w:val="NormaleWeb"/>
                        </w:pPr>
                        <w:r>
                          <w:t>Per le zone interessate valgono le seguenti raccomandazioni:</w:t>
                        </w:r>
                      </w:p>
                      <w:p w14:paraId="0234D30B" w14:textId="77777777" w:rsidR="00E541A6" w:rsidRDefault="00E541A6">
                        <w:pPr>
                          <w:pStyle w:val="NormaleWeb"/>
                        </w:pPr>
                        <w:r>
                          <w:t>• Le persone con pelle sensibile (compresi i bambini piccoli) devono rinunciare a bagnarsi, in quanto le alghe possono produrre sostanze in grado di provocare reazioni allergiche</w:t>
                        </w:r>
                      </w:p>
                      <w:p w14:paraId="3F90F070" w14:textId="77777777" w:rsidR="00E541A6" w:rsidRDefault="00E541A6">
                        <w:pPr>
                          <w:pStyle w:val="NormaleWeb"/>
                        </w:pPr>
                        <w:r>
                          <w:t>• Evitare di ingerire l’acqua</w:t>
                        </w:r>
                      </w:p>
                      <w:p w14:paraId="3664CF4F" w14:textId="77777777" w:rsidR="00E541A6" w:rsidRDefault="00E541A6">
                        <w:pPr>
                          <w:pStyle w:val="NormaleWeb"/>
                        </w:pPr>
                        <w:r>
                          <w:t>• Dopo il bagno fare un’accurata doccia e asciugarsi bene</w:t>
                        </w:r>
                      </w:p>
                      <w:p w14:paraId="5471D347" w14:textId="77777777" w:rsidR="00E541A6" w:rsidRDefault="00E541A6">
                        <w:pPr>
                          <w:pStyle w:val="NormaleWeb"/>
                        </w:pPr>
                        <w:r>
                          <w:t>• Non fare il bagno nei pressi di tappeti di alghe</w:t>
                        </w:r>
                      </w:p>
                      <w:p w14:paraId="2DC332DF" w14:textId="77777777" w:rsidR="00E541A6" w:rsidRDefault="00E541A6">
                        <w:pPr>
                          <w:pStyle w:val="NormaleWeb"/>
                        </w:pPr>
                        <w:r>
                          <w:t>• Evitare di far bagnare e abbeverare  i propri cani</w:t>
                        </w:r>
                      </w:p>
                      <w:p w14:paraId="348353F4" w14:textId="77777777" w:rsidR="00E541A6" w:rsidRDefault="00E541A6">
                        <w:pPr>
                          <w:pStyle w:val="NormaleWeb"/>
                        </w:pPr>
                        <w:r>
                          <w:t xml:space="preserve">Il laboratorio cantonale continuerà a monitorare la situazione anche nelle prossime settimane. Eventuali aggiornamenti saranno pubblicati sul nostro sito web nella rubrica </w:t>
                        </w:r>
                        <w:hyperlink r:id="rId13" w:tgtFrame="_blank" w:history="1">
                          <w:r>
                            <w:rPr>
                              <w:rStyle w:val="Collegamentoipertestuale"/>
                            </w:rPr>
                            <w:t>attualità del laboratorio</w:t>
                          </w:r>
                        </w:hyperlink>
                        <w:r>
                          <w:t>.</w:t>
                        </w:r>
                      </w:p>
                      <w:p w14:paraId="2D38814C" w14:textId="77777777" w:rsidR="00E541A6" w:rsidRDefault="00E541A6">
                        <w:pPr>
                          <w:rPr>
                            <w:rFonts w:eastAsia="Times New Roman"/>
                          </w:rPr>
                        </w:pPr>
                        <w:r>
                          <w:rPr>
                            <w:rFonts w:eastAsia="Times New Roman"/>
                          </w:rPr>
                          <w:t> </w:t>
                        </w:r>
                      </w:p>
                    </w:tc>
                  </w:tr>
                </w:tbl>
                <w:p w14:paraId="01023D12" w14:textId="77777777" w:rsidR="00E541A6" w:rsidRDefault="00E541A6">
                  <w:pPr>
                    <w:rPr>
                      <w:rFonts w:ascii="Times New Roman" w:eastAsia="Times New Roman" w:hAnsi="Times New Roman" w:cs="Times New Roman"/>
                      <w:sz w:val="20"/>
                      <w:szCs w:val="20"/>
                    </w:rPr>
                  </w:pPr>
                </w:p>
              </w:tc>
            </w:tr>
          </w:tbl>
          <w:p w14:paraId="2B38B949" w14:textId="77777777" w:rsidR="00E541A6" w:rsidRDefault="00E541A6">
            <w:pPr>
              <w:pStyle w:val="NormaleWeb"/>
            </w:pPr>
            <w:r>
              <w:lastRenderedPageBreak/>
              <w:t> </w:t>
            </w:r>
          </w:p>
          <w:tbl>
            <w:tblPr>
              <w:tblW w:w="9750" w:type="dxa"/>
              <w:tblCellSpacing w:w="0" w:type="dxa"/>
              <w:tblCellMar>
                <w:left w:w="0" w:type="dxa"/>
                <w:right w:w="0" w:type="dxa"/>
              </w:tblCellMar>
              <w:tblLook w:val="04A0" w:firstRow="1" w:lastRow="0" w:firstColumn="1" w:lastColumn="0" w:noHBand="0" w:noVBand="1"/>
            </w:tblPr>
            <w:tblGrid>
              <w:gridCol w:w="9750"/>
            </w:tblGrid>
            <w:tr w:rsidR="00E541A6" w14:paraId="486856A8" w14:textId="77777777">
              <w:trPr>
                <w:tblCellSpacing w:w="0" w:type="dxa"/>
              </w:trPr>
              <w:tc>
                <w:tcPr>
                  <w:tcW w:w="0" w:type="auto"/>
                  <w:tcBorders>
                    <w:top w:val="single" w:sz="6" w:space="0" w:color="auto"/>
                    <w:left w:val="nil"/>
                    <w:bottom w:val="nil"/>
                    <w:right w:val="nil"/>
                  </w:tcBorders>
                  <w:vAlign w:val="center"/>
                  <w:hideMark/>
                </w:tcPr>
                <w:p w14:paraId="3A28F971" w14:textId="77777777" w:rsidR="00E541A6" w:rsidRDefault="00E541A6">
                  <w:pPr>
                    <w:pStyle w:val="NormaleWeb"/>
                  </w:pPr>
                  <w:r>
                    <w:lastRenderedPageBreak/>
                    <w:t> </w:t>
                  </w:r>
                </w:p>
                <w:p w14:paraId="50F6284F" w14:textId="77777777" w:rsidR="00E541A6" w:rsidRDefault="00E541A6">
                  <w:pPr>
                    <w:pStyle w:val="text"/>
                  </w:pPr>
                  <w:r>
                    <w:t>Vi ringraziamo per l'interesse mostrato nei confronti della nostra attività, vi invitiamo ad informare i vostri conoscenti e amici sulla possibilità di iscriversi alla nostra mailing-list e ricevere così importanti informazioni utili sia professionalmente che come cittadino-consumatore</w:t>
                  </w:r>
                  <w:r>
                    <w:br/>
                  </w:r>
                  <w:hyperlink r:id="rId14" w:history="1">
                    <w:r>
                      <w:rPr>
                        <w:rStyle w:val="Collegamentoipertestuale"/>
                      </w:rPr>
                      <w:t>www.ti.ch/laboratorio</w:t>
                    </w:r>
                  </w:hyperlink>
                </w:p>
                <w:p w14:paraId="0E754AC0" w14:textId="77777777" w:rsidR="00E541A6" w:rsidRDefault="00E541A6">
                  <w:pPr>
                    <w:pStyle w:val="text"/>
                  </w:pPr>
                  <w:r>
                    <w:t xml:space="preserve">Ricevi questa Newsletter perché ti sei abbonato. </w:t>
                  </w:r>
                  <w:r>
                    <w:br/>
                    <w:t xml:space="preserve">Non sei più interessato? </w:t>
                  </w:r>
                  <w:hyperlink r:id="rId15" w:history="1">
                    <w:proofErr w:type="spellStart"/>
                    <w:r>
                      <w:rPr>
                        <w:rStyle w:val="Collegamentoipertestuale"/>
                      </w:rPr>
                      <w:t>Disiscriviti</w:t>
                    </w:r>
                    <w:proofErr w:type="spellEnd"/>
                    <w:r>
                      <w:rPr>
                        <w:rStyle w:val="Collegamentoipertestuale"/>
                      </w:rPr>
                      <w:t>.</w:t>
                    </w:r>
                  </w:hyperlink>
                </w:p>
                <w:p w14:paraId="44C15861" w14:textId="77777777" w:rsidR="00E541A6" w:rsidRDefault="00E541A6">
                  <w:pPr>
                    <w:pStyle w:val="NormaleWeb"/>
                  </w:pPr>
                  <w:r>
                    <w:t> </w:t>
                  </w:r>
                </w:p>
              </w:tc>
            </w:tr>
          </w:tbl>
          <w:p w14:paraId="65D14791" w14:textId="77777777" w:rsidR="00E541A6" w:rsidRDefault="00E541A6">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750"/>
            </w:tblGrid>
            <w:tr w:rsidR="00E541A6" w14:paraId="581FA9C6" w14:textId="77777777">
              <w:trPr>
                <w:tblCellSpacing w:w="0" w:type="dxa"/>
              </w:trPr>
              <w:tc>
                <w:tcPr>
                  <w:tcW w:w="0" w:type="auto"/>
                  <w:shd w:val="clear" w:color="auto" w:fill="F4F4F4"/>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4935"/>
                    <w:gridCol w:w="4815"/>
                  </w:tblGrid>
                  <w:tr w:rsidR="00E541A6" w14:paraId="6B565FF8" w14:textId="77777777">
                    <w:trPr>
                      <w:tblCellSpacing w:w="0" w:type="dxa"/>
                    </w:trPr>
                    <w:tc>
                      <w:tcPr>
                        <w:tcW w:w="4935" w:type="dxa"/>
                        <w:vAlign w:val="center"/>
                        <w:hideMark/>
                      </w:tcPr>
                      <w:p w14:paraId="28B36C08" w14:textId="77777777" w:rsidR="00E541A6" w:rsidRDefault="00E541A6">
                        <w:pPr>
                          <w:pStyle w:val="Titolo3"/>
                          <w:rPr>
                            <w:rFonts w:ascii="Helvetica" w:eastAsia="Times New Roman" w:hAnsi="Helvetica" w:cs="Helvetica"/>
                            <w:sz w:val="27"/>
                            <w:szCs w:val="27"/>
                          </w:rPr>
                        </w:pPr>
                        <w:proofErr w:type="spellStart"/>
                        <w:r>
                          <w:rPr>
                            <w:rFonts w:ascii="Helvetica" w:eastAsia="Times New Roman" w:hAnsi="Helvetica" w:cs="Helvetica"/>
                            <w:color w:val="CCCCCC"/>
                            <w:sz w:val="27"/>
                            <w:szCs w:val="27"/>
                          </w:rPr>
                          <w:t>Impressum</w:t>
                        </w:r>
                        <w:proofErr w:type="spellEnd"/>
                      </w:p>
                      <w:p w14:paraId="06442708" w14:textId="77777777" w:rsidR="00E541A6" w:rsidRDefault="00E541A6">
                        <w:pPr>
                          <w:pStyle w:val="text"/>
                        </w:pPr>
                        <w:r>
                          <w:t> </w:t>
                        </w:r>
                        <w:r>
                          <w:br/>
                          <w:t>Dipartimento della sanità e della socialità</w:t>
                        </w:r>
                        <w:r>
                          <w:br/>
                          <w:t>Divisione della salute pubblica</w:t>
                        </w:r>
                        <w:r>
                          <w:br/>
                        </w:r>
                        <w:r>
                          <w:br/>
                        </w:r>
                        <w:r>
                          <w:rPr>
                            <w:b/>
                            <w:bCs/>
                          </w:rPr>
                          <w:t>Laboratorio cantonale</w:t>
                        </w:r>
                        <w:r>
                          <w:br/>
                          <w:t>Via Mirasole 22</w:t>
                        </w:r>
                        <w:r>
                          <w:br/>
                          <w:t>6500 Bellinzona</w:t>
                        </w:r>
                      </w:p>
                    </w:tc>
                    <w:tc>
                      <w:tcPr>
                        <w:tcW w:w="0" w:type="auto"/>
                        <w:vAlign w:val="center"/>
                        <w:hideMark/>
                      </w:tcPr>
                      <w:p w14:paraId="7F9A1340" w14:textId="77777777" w:rsidR="00E541A6" w:rsidRDefault="00E541A6">
                        <w:pPr>
                          <w:pStyle w:val="NormaleWeb"/>
                        </w:pPr>
                        <w:r>
                          <w:t> </w:t>
                        </w:r>
                      </w:p>
                      <w:p w14:paraId="54E18B0A" w14:textId="77777777" w:rsidR="00E541A6" w:rsidRDefault="00E541A6">
                        <w:pPr>
                          <w:pStyle w:val="NormaleWeb"/>
                        </w:pPr>
                        <w:r>
                          <w:t> </w:t>
                        </w:r>
                      </w:p>
                      <w:p w14:paraId="6B9FE429" w14:textId="77777777" w:rsidR="00E541A6" w:rsidRDefault="00E541A6">
                        <w:pPr>
                          <w:pStyle w:val="NormaleWeb"/>
                        </w:pPr>
                        <w:r>
                          <w:t> </w:t>
                        </w:r>
                      </w:p>
                      <w:p w14:paraId="7000D774" w14:textId="77777777" w:rsidR="00E541A6" w:rsidRDefault="00E541A6">
                        <w:pPr>
                          <w:pStyle w:val="text"/>
                        </w:pPr>
                        <w:r>
                          <w:t>tel. +41 91 814 61 11</w:t>
                        </w:r>
                        <w:r>
                          <w:br/>
                          <w:t>fax +41 91 814 61 19</w:t>
                        </w:r>
                        <w:r>
                          <w:br/>
                        </w:r>
                        <w:hyperlink r:id="rId16" w:history="1">
                          <w:r>
                            <w:rPr>
                              <w:rStyle w:val="Collegamentoipertestuale"/>
                            </w:rPr>
                            <w:t>dss-lc@ti.ch</w:t>
                          </w:r>
                        </w:hyperlink>
                        <w:r>
                          <w:t xml:space="preserve"> </w:t>
                        </w:r>
                        <w:r>
                          <w:br/>
                        </w:r>
                        <w:r>
                          <w:br/>
                        </w:r>
                        <w:hyperlink r:id="rId17" w:history="1">
                          <w:r>
                            <w:rPr>
                              <w:rStyle w:val="Collegamentoipertestuale"/>
                            </w:rPr>
                            <w:t>www.ti.ch/laboratorio</w:t>
                          </w:r>
                        </w:hyperlink>
                      </w:p>
                    </w:tc>
                  </w:tr>
                </w:tbl>
                <w:p w14:paraId="6BAC9D69" w14:textId="77777777" w:rsidR="00E541A6" w:rsidRDefault="00E541A6">
                  <w:pPr>
                    <w:rPr>
                      <w:rFonts w:ascii="Times New Roman" w:eastAsia="Times New Roman" w:hAnsi="Times New Roman" w:cs="Times New Roman"/>
                      <w:sz w:val="20"/>
                      <w:szCs w:val="20"/>
                    </w:rPr>
                  </w:pPr>
                </w:p>
              </w:tc>
            </w:tr>
          </w:tbl>
          <w:p w14:paraId="51C0E8AC" w14:textId="77777777" w:rsidR="00E541A6" w:rsidRDefault="00E541A6">
            <w:pPr>
              <w:rPr>
                <w:rFonts w:ascii="Times New Roman" w:eastAsia="Times New Roman" w:hAnsi="Times New Roman" w:cs="Times New Roman"/>
                <w:sz w:val="20"/>
                <w:szCs w:val="20"/>
              </w:rPr>
            </w:pPr>
          </w:p>
        </w:tc>
      </w:tr>
    </w:tbl>
    <w:p w14:paraId="6649EC89" w14:textId="77777777" w:rsidR="00A12692" w:rsidRDefault="00A12692"/>
    <w:sectPr w:rsidR="00A126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A6"/>
    <w:rsid w:val="00A12692"/>
    <w:rsid w:val="00E541A6"/>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A9C1"/>
  <w15:chartTrackingRefBased/>
  <w15:docId w15:val="{AFE269A3-F1EB-4A47-AF06-905BF0CC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41A6"/>
    <w:pPr>
      <w:spacing w:after="0" w:line="240" w:lineRule="auto"/>
    </w:pPr>
    <w:rPr>
      <w:rFonts w:ascii="Calibri" w:hAnsi="Calibri" w:cs="Calibri"/>
      <w:lang w:eastAsia="it-CH"/>
    </w:rPr>
  </w:style>
  <w:style w:type="paragraph" w:styleId="Titolo1">
    <w:name w:val="heading 1"/>
    <w:basedOn w:val="Normale"/>
    <w:link w:val="Titolo1Carattere"/>
    <w:uiPriority w:val="9"/>
    <w:qFormat/>
    <w:rsid w:val="00E541A6"/>
    <w:pPr>
      <w:outlineLvl w:val="0"/>
    </w:pPr>
    <w:rPr>
      <w:rFonts w:ascii="Arial" w:hAnsi="Arial" w:cs="Arial"/>
      <w:color w:val="333333"/>
      <w:kern w:val="36"/>
      <w:sz w:val="90"/>
      <w:szCs w:val="90"/>
    </w:rPr>
  </w:style>
  <w:style w:type="paragraph" w:styleId="Titolo2">
    <w:name w:val="heading 2"/>
    <w:basedOn w:val="Normale"/>
    <w:link w:val="Titolo2Carattere"/>
    <w:uiPriority w:val="9"/>
    <w:semiHidden/>
    <w:unhideWhenUsed/>
    <w:qFormat/>
    <w:rsid w:val="00E541A6"/>
    <w:pPr>
      <w:spacing w:before="360" w:after="15"/>
      <w:outlineLvl w:val="1"/>
    </w:pPr>
    <w:rPr>
      <w:rFonts w:ascii="Arial" w:hAnsi="Arial" w:cs="Arial"/>
      <w:b/>
      <w:bCs/>
      <w:color w:val="D84C9B"/>
      <w:sz w:val="48"/>
      <w:szCs w:val="48"/>
    </w:rPr>
  </w:style>
  <w:style w:type="paragraph" w:styleId="Titolo3">
    <w:name w:val="heading 3"/>
    <w:basedOn w:val="Normale"/>
    <w:link w:val="Titolo3Carattere"/>
    <w:uiPriority w:val="9"/>
    <w:semiHidden/>
    <w:unhideWhenUsed/>
    <w:qFormat/>
    <w:rsid w:val="00E541A6"/>
    <w:pPr>
      <w:outlineLvl w:val="2"/>
    </w:pPr>
    <w:rPr>
      <w:rFonts w:ascii="Arial" w:hAnsi="Arial" w:cs="Arial"/>
      <w:b/>
      <w:bCs/>
      <w:color w:val="FFFFFF"/>
      <w:sz w:val="36"/>
      <w:szCs w:val="36"/>
    </w:rPr>
  </w:style>
  <w:style w:type="paragraph" w:styleId="Titolo5">
    <w:name w:val="heading 5"/>
    <w:basedOn w:val="Normale"/>
    <w:link w:val="Titolo5Carattere"/>
    <w:uiPriority w:val="9"/>
    <w:semiHidden/>
    <w:unhideWhenUsed/>
    <w:qFormat/>
    <w:rsid w:val="00E541A6"/>
    <w:pPr>
      <w:outlineLvl w:val="4"/>
    </w:pPr>
    <w:rPr>
      <w:rFonts w:ascii="Arial" w:hAnsi="Arial" w:cs="Arial"/>
      <w:b/>
      <w:bCs/>
      <w:color w:val="333333"/>
      <w:sz w:val="45"/>
      <w:szCs w:val="4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41A6"/>
    <w:rPr>
      <w:rFonts w:ascii="Arial" w:hAnsi="Arial" w:cs="Arial"/>
      <w:color w:val="333333"/>
      <w:kern w:val="36"/>
      <w:sz w:val="90"/>
      <w:szCs w:val="90"/>
      <w:lang w:eastAsia="it-CH"/>
    </w:rPr>
  </w:style>
  <w:style w:type="character" w:customStyle="1" w:styleId="Titolo2Carattere">
    <w:name w:val="Titolo 2 Carattere"/>
    <w:basedOn w:val="Carpredefinitoparagrafo"/>
    <w:link w:val="Titolo2"/>
    <w:uiPriority w:val="9"/>
    <w:semiHidden/>
    <w:rsid w:val="00E541A6"/>
    <w:rPr>
      <w:rFonts w:ascii="Arial" w:hAnsi="Arial" w:cs="Arial"/>
      <w:b/>
      <w:bCs/>
      <w:color w:val="D84C9B"/>
      <w:sz w:val="48"/>
      <w:szCs w:val="48"/>
      <w:lang w:eastAsia="it-CH"/>
    </w:rPr>
  </w:style>
  <w:style w:type="character" w:customStyle="1" w:styleId="Titolo3Carattere">
    <w:name w:val="Titolo 3 Carattere"/>
    <w:basedOn w:val="Carpredefinitoparagrafo"/>
    <w:link w:val="Titolo3"/>
    <w:uiPriority w:val="9"/>
    <w:semiHidden/>
    <w:rsid w:val="00E541A6"/>
    <w:rPr>
      <w:rFonts w:ascii="Arial" w:hAnsi="Arial" w:cs="Arial"/>
      <w:b/>
      <w:bCs/>
      <w:color w:val="FFFFFF"/>
      <w:sz w:val="36"/>
      <w:szCs w:val="36"/>
      <w:lang w:eastAsia="it-CH"/>
    </w:rPr>
  </w:style>
  <w:style w:type="character" w:customStyle="1" w:styleId="Titolo5Carattere">
    <w:name w:val="Titolo 5 Carattere"/>
    <w:basedOn w:val="Carpredefinitoparagrafo"/>
    <w:link w:val="Titolo5"/>
    <w:uiPriority w:val="9"/>
    <w:semiHidden/>
    <w:rsid w:val="00E541A6"/>
    <w:rPr>
      <w:rFonts w:ascii="Arial" w:hAnsi="Arial" w:cs="Arial"/>
      <w:b/>
      <w:bCs/>
      <w:color w:val="333333"/>
      <w:sz w:val="45"/>
      <w:szCs w:val="45"/>
      <w:lang w:eastAsia="it-CH"/>
    </w:rPr>
  </w:style>
  <w:style w:type="character" w:styleId="Collegamentoipertestuale">
    <w:name w:val="Hyperlink"/>
    <w:basedOn w:val="Carpredefinitoparagrafo"/>
    <w:uiPriority w:val="99"/>
    <w:semiHidden/>
    <w:unhideWhenUsed/>
    <w:rsid w:val="00E541A6"/>
    <w:rPr>
      <w:strike w:val="0"/>
      <w:dstrike w:val="0"/>
      <w:color w:val="4B98D7"/>
      <w:u w:val="none"/>
      <w:effect w:val="none"/>
    </w:rPr>
  </w:style>
  <w:style w:type="paragraph" w:styleId="NormaleWeb">
    <w:name w:val="Normal (Web)"/>
    <w:basedOn w:val="Normale"/>
    <w:uiPriority w:val="99"/>
    <w:semiHidden/>
    <w:unhideWhenUsed/>
    <w:rsid w:val="00E541A6"/>
    <w:pPr>
      <w:spacing w:line="315" w:lineRule="atLeast"/>
    </w:pPr>
    <w:rPr>
      <w:rFonts w:ascii="Georgia" w:hAnsi="Georgia"/>
      <w:color w:val="333333"/>
      <w:sz w:val="24"/>
      <w:szCs w:val="24"/>
    </w:rPr>
  </w:style>
  <w:style w:type="paragraph" w:customStyle="1" w:styleId="text">
    <w:name w:val="text"/>
    <w:basedOn w:val="Normale"/>
    <w:uiPriority w:val="99"/>
    <w:semiHidden/>
    <w:rsid w:val="00E541A6"/>
    <w:pPr>
      <w:spacing w:after="45" w:line="240" w:lineRule="atLeast"/>
    </w:pPr>
    <w:rPr>
      <w:rFonts w:ascii="Arial" w:hAnsi="Arial" w:cs="Arial"/>
      <w:color w:val="333333"/>
      <w:sz w:val="18"/>
      <w:szCs w:val="18"/>
    </w:rPr>
  </w:style>
  <w:style w:type="character" w:styleId="Enfasicorsivo">
    <w:name w:val="Emphasis"/>
    <w:basedOn w:val="Carpredefinitoparagrafo"/>
    <w:uiPriority w:val="20"/>
    <w:qFormat/>
    <w:rsid w:val="00E541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s.news.ti.ch/link.php?M=19838&amp;N=701&amp;L=930&amp;F=H" TargetMode="External"/><Relationship Id="rId13" Type="http://schemas.openxmlformats.org/officeDocument/2006/relationships/hyperlink" Target="http://dss.news.ti.ch/link.php?M=19838&amp;N=701&amp;L=1404&amp;F=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hyperlink" Target="http://dss.news.ti.ch/link.php?M=19838&amp;N=701&amp;L=10&amp;F=H" TargetMode="External"/><Relationship Id="rId2" Type="http://schemas.openxmlformats.org/officeDocument/2006/relationships/settings" Target="settings.xml"/><Relationship Id="rId16" Type="http://schemas.openxmlformats.org/officeDocument/2006/relationships/hyperlink" Target="mailto:dss-lc@ti.ch" TargetMode="External"/><Relationship Id="rId1" Type="http://schemas.openxmlformats.org/officeDocument/2006/relationships/styles" Target="styles.xml"/><Relationship Id="rId6" Type="http://schemas.openxmlformats.org/officeDocument/2006/relationships/hyperlink" Target="http://dss.news.ti.ch/link.php?M=19838&amp;N=701&amp;L=10&amp;F=H" TargetMode="External"/><Relationship Id="rId11" Type="http://schemas.openxmlformats.org/officeDocument/2006/relationships/hyperlink" Target="http://dss.news.ti.ch/link.php?M=19838&amp;N=701&amp;L=929&amp;F=H" TargetMode="External"/><Relationship Id="rId5" Type="http://schemas.openxmlformats.org/officeDocument/2006/relationships/image" Target="media/image1.jpeg"/><Relationship Id="rId15" Type="http://schemas.openxmlformats.org/officeDocument/2006/relationships/hyperlink" Target="http://dss.news.ti.ch/unsubscribe.php?M=19838&amp;C=fd0f59aa5dc4c10cdfb59c93dee4d423&amp;L=10&amp;N=701" TargetMode="External"/><Relationship Id="rId10" Type="http://schemas.openxmlformats.org/officeDocument/2006/relationships/hyperlink" Target="http://dss.news.ti.ch/link.php?M=19838&amp;N=701&amp;L=1086&amp;F=H" TargetMode="External"/><Relationship Id="rId19" Type="http://schemas.openxmlformats.org/officeDocument/2006/relationships/theme" Target="theme/theme1.xml"/><Relationship Id="rId4" Type="http://schemas.openxmlformats.org/officeDocument/2006/relationships/hyperlink" Target="http://dss.news.ti.ch/link.php?M=19838&amp;N=701&amp;L=22&amp;F=H" TargetMode="External"/><Relationship Id="rId9" Type="http://schemas.openxmlformats.org/officeDocument/2006/relationships/hyperlink" Target="http://dss.news.ti.ch/link.php?M=19838&amp;N=701&amp;L=703&amp;F=H" TargetMode="External"/><Relationship Id="rId14" Type="http://schemas.openxmlformats.org/officeDocument/2006/relationships/hyperlink" Target="http://dss.news.ti.ch/link.php?M=19838&amp;N=701&amp;L=10&amp;F=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 Bedigliora</dc:creator>
  <cp:keywords/>
  <dc:description/>
  <cp:lastModifiedBy>Municipio Bedigliora</cp:lastModifiedBy>
  <cp:revision>1</cp:revision>
  <dcterms:created xsi:type="dcterms:W3CDTF">2020-09-15T13:34:00Z</dcterms:created>
  <dcterms:modified xsi:type="dcterms:W3CDTF">2020-09-15T13:35:00Z</dcterms:modified>
</cp:coreProperties>
</file>