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31611" w:rsidTr="00631611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4779"/>
              <w:gridCol w:w="1784"/>
            </w:tblGrid>
            <w:tr w:rsidR="00631611">
              <w:trPr>
                <w:tblCellSpacing w:w="0" w:type="dxa"/>
              </w:trPr>
              <w:tc>
                <w:tcPr>
                  <w:tcW w:w="3000" w:type="dxa"/>
                  <w:vAlign w:val="bottom"/>
                  <w:hideMark/>
                </w:tcPr>
                <w:p w:rsidR="00631611" w:rsidRDefault="00631611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631611" w:rsidRDefault="00631611"/>
              </w:tc>
              <w:tc>
                <w:tcPr>
                  <w:tcW w:w="1680" w:type="dxa"/>
                  <w:vAlign w:val="bottom"/>
                  <w:hideMark/>
                </w:tcPr>
                <w:p w:rsidR="00631611" w:rsidRDefault="006316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1611" w:rsidRDefault="00631611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31611">
              <w:trPr>
                <w:tblCellSpacing w:w="0" w:type="dxa"/>
              </w:trPr>
              <w:tc>
                <w:tcPr>
                  <w:tcW w:w="9750" w:type="dxa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5115"/>
                    <w:gridCol w:w="1635"/>
                  </w:tblGrid>
                  <w:tr w:rsidR="00631611">
                    <w:trPr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631611" w:rsidRDefault="006316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4B98D7"/>
                          </w:rPr>
                          <w:drawing>
                            <wp:inline distT="0" distB="0" distL="0" distR="0">
                              <wp:extent cx="1752600" cy="476250"/>
                              <wp:effectExtent l="0" t="0" r="0" b="0"/>
                              <wp:docPr id="3" name="Immagine 3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1611" w:rsidRDefault="006316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vAlign w:val="bottom"/>
                        <w:hideMark/>
                      </w:tcPr>
                      <w:p w:rsidR="00631611" w:rsidRDefault="00631611">
                        <w:pPr>
                          <w:pStyle w:val="text"/>
                          <w:jc w:val="center"/>
                        </w:pPr>
                        <w:r>
                          <w:t>04 novembre 2019</w:t>
                        </w:r>
                      </w:p>
                    </w:tc>
                  </w:tr>
                </w:tbl>
                <w:p w:rsidR="00631611" w:rsidRDefault="0063161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2"/>
                    <w:gridCol w:w="1518"/>
                  </w:tblGrid>
                  <w:tr w:rsidR="0063161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31611" w:rsidRDefault="00631611">
                        <w:pPr>
                          <w:pStyle w:val="Titolo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Newsletter</w:t>
                        </w:r>
                      </w:p>
                      <w:p w:rsidR="00631611" w:rsidRDefault="00631611">
                        <w:pPr>
                          <w:pStyle w:val="Titolo5"/>
                          <w:rPr>
                            <w:rFonts w:eastAsia="Times New Roman"/>
                          </w:rPr>
                        </w:pPr>
                        <w:hyperlink r:id="rId7" w:history="1">
                          <w:r>
                            <w:rPr>
                              <w:rStyle w:val="Collegamentoipertestuale"/>
                              <w:rFonts w:eastAsia="Times New Roman"/>
                            </w:rPr>
                            <w:t>Laboratorio cantonale</w:t>
                          </w:r>
                        </w:hyperlink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631611" w:rsidRDefault="00631611">
                        <w:pPr>
                          <w:spacing w:line="165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       124</w:t>
                        </w:r>
                      </w:p>
                    </w:tc>
                  </w:tr>
                </w:tbl>
                <w:p w:rsidR="00631611" w:rsidRDefault="006316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611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1611" w:rsidRDefault="006316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31611" w:rsidRDefault="00631611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316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31611">
                    <w:trPr>
                      <w:tblCellSpacing w:w="0" w:type="dxa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631611" w:rsidRDefault="00631611">
                        <w:pPr>
                          <w:pStyle w:val="Titolo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hd w:val="clear" w:color="auto" w:fill="D84C9B"/>
                          </w:rPr>
                          <w:t xml:space="preserve"> News 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316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1611" w:rsidRDefault="00631611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01.</w:t>
                              </w:r>
                            </w:p>
                            <w:p w:rsidR="00631611" w:rsidRDefault="00631611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Attualità dall'USAV - Rapporto annuo 2018 sui programmi di controllo alle frontiere - Sorveglianza delle derrate alimentari di origine vegetale e degli oggetti d’uso  </w:t>
                              </w:r>
                            </w:p>
                            <w:p w:rsidR="00631611" w:rsidRDefault="00631611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 xml:space="preserve">L’Ufficio federale della sicurezza alimentare e di veterinaria (USAV) esegue ogni anno programmi di controllo alle frontiere in funzione dei rischi, avvalendosi della collaborazione dell’Amministrazione federale delle dogane (AFD) e delle autorità cantonali preposte al controllo delle derrate alimentari, come lo è il Laboratorio cantonale del Ticino. Con tali controlli si persegue l’obiettivo di verificare, tramite il prelievo casuale di campioni, la conformità giuridica delle derrate alimentari e degli oggetti d’uso importati rispetto alla legislazione sulle derrate alimentari. I rapporti annui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riportatano</w:t>
                              </w:r>
                              <w:proofErr w:type="spellEnd"/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 xml:space="preserve"> i risultati dei controlli ufficiali alle frontiere eseguiti sulle derrate alimentari di origine vegetale e sugli oggetti d’uso.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Anche il rapporto 2018 fornisce una visione d’insieme sulla situazione relativa ai prodotti d’importazione sottoposti a controllo, rivolgendosi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nel contempo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sia ai consumatori, sia alle aziende importatrici e sia alle autorità coinvolte. Il documento è suddiviso in due parti. Nei capitoli 2 e 3 sono riassunti i risultati di tutti i controlli. Nell’allegato figurano i rapporti dettagliati redatti dalle autorità cantonali preposte al controllo delle derrate alimentari riguardo ai singoli programmi prioritari.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I campioni delle derrate alimentari e degli oggetti d’uso vengono prelevati in maniera scaglionata nel corso dell’anno da parte degli uffici doganali (confini doganali via terra, acqua e aria). I programmi di controllo possono essere ripartiti in 2 gruppi: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programmi prioritari (PP) alle frontiere pianificati e impostati in funzione dei rischi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prelievi spontanei di campioni alle frontiere in base a un sospetto.</w:t>
                              </w:r>
                            </w:p>
                            <w:p w:rsidR="00631611" w:rsidRDefault="00631611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Su un totale di 58 (ovvero il 13 %) dei 462 campioni prelevati alle frontiere, controllati e analizzati nel 2018,  le autorità cantonali preposte al controllo delle derrate alimentari hanno emesso una contestazione (nel 2017: quota del 16 %). È opportuno sottolineare che i campioni vengono prelevati in funzione dei rischi (vale a dire scelti in maniera già mirata), implicando quindi giocoforza tassi più elevati di contestazione.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 xml:space="preserve">Come conseguenza delle contestazioni pronunciate, alle aziende in questione sono fatturati i costi delle analisi sotto forma di emolumento; inoltre nei loro confronti vengono prese misure di diritto amministrativo. In presenza di una potenziale minaccia per la salute, di concerto con l’USAV i Cantoni possono eventualmente decidere ulteriori misure. Queste misure possono consistere in: un richiamo, un avvertimento al pubblico oppure l’invio di una notifica al Sistema europeo di allerta rapido per alimenti e mangimi (Rapid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Alert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System for Food and Feed, RASFF).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 xml:space="preserve">I risultati e le conclusioni dell'attività sono presentati nel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eastAsia="Times New Roman"/>
                                    <w:b/>
                                    <w:bCs/>
                                  </w:rPr>
                                  <w:t>rapporto sui controlli alla frontiera 2018</w:t>
                                </w:r>
                              </w:hyperlink>
                            </w:p>
                            <w:p w:rsidR="00631611" w:rsidRDefault="00631611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02.</w:t>
                              </w:r>
                            </w:p>
                            <w:p w:rsidR="00631611" w:rsidRDefault="00631611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Attualità dall'USAV - Attenzione agli acquisti su piattaforme online straniere</w:t>
                              </w:r>
                            </w:p>
                            <w:p w:rsidR="00631611" w:rsidRDefault="00631611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714500" cy="1285875"/>
                                    <wp:effectExtent l="0" t="0" r="0" b="9525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Nei negozi su Internet, i consumatori possono acquistare merci direttamente da produttori e rivenditori all’estero. Negli ultimi anni gli acquisti in questi «mercati online» all'estero sono fortemente aumentati, soprattutto in seguito alla facile disponibilità e ai prezzi bassi.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Oltre a fornitori affidabili, ci sono anche rivenditori che offrono prodotti a rischio per la salute utilizzando queste piattaforme Internet per le loro vendite.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t>In Svizzera le derrate alimentari, i giocattoli, i cosmetici e altri oggetti d’uso sono soggetti al diritto sulle derrate alimentari, il quale stabilisce l’immissione sul mercato solo di prodotti sicuri.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L’importazione per uso personale non è disciplinata dal diritto alimentare. L’importazione di prodotti per uso domestico privato (uso personale) non rientra infatti nel campo di applicazione del diritto svizzero in materia di derrate alimentari. 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>I prodotti acquistati su piattaforme online estere per uso personale non sono quindi controllati dalle autorità di esecuzione in Svizzera.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Pertanto, non soddisfano necessariamente i requisiti legali elvetici e per i prodotti così acquistati non è possibile escludere potenziali rischi per la salute dei consumatori.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Occorre prestare particolare attenzione a: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integratori alimentari,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giocattoli,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cosmetici,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biogiotteria</w:t>
                              </w:r>
                              <w:proofErr w:type="spellEnd"/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 xml:space="preserve"> e</w:t>
                              </w:r>
                            </w:p>
                            <w:p w:rsidR="00631611" w:rsidRDefault="00631611" w:rsidP="008A408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prodotti tessili che entrano a contatto diretto con il corpo.</w:t>
                              </w:r>
                            </w:p>
                            <w:p w:rsidR="00631611" w:rsidRDefault="00631611">
                              <w:pPr>
                                <w:spacing w:after="24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br/>
                                <w:t>È responsabilità dei consumatori prestare la massima attenzione in caso di ordini simili e acquistare solo da rivenditori di cui si fidano.</w:t>
                              </w:r>
                            </w:p>
                          </w:tc>
                        </w:tr>
                      </w:tbl>
                      <w:p w:rsidR="00631611" w:rsidRDefault="0063161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611" w:rsidRDefault="0063161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3161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31611" w:rsidRDefault="00631611">
                        <w:pPr>
                          <w:pStyle w:val="NormaleWeb"/>
                        </w:pPr>
                        <w:r>
                          <w:t> </w:t>
                        </w:r>
                      </w:p>
                      <w:p w:rsidR="00631611" w:rsidRDefault="00631611">
                        <w:pPr>
                          <w:pStyle w:val="text"/>
                        </w:pPr>
                        <w:r>
                          <w:t xml:space="preserve">Vi ringraziamo per l'interesse mostrato nei confronti della nostra attività, vi invitiamo ad informare i vostri conoscenti e amici sulla possibilità di </w:t>
                        </w:r>
                        <w:hyperlink r:id="rId10" w:history="1">
                          <w:r>
                            <w:rPr>
                              <w:rStyle w:val="Collegamentoipertestuale"/>
                            </w:rPr>
                            <w:t xml:space="preserve">iscriversi alla nostra mailing-list </w:t>
                          </w:r>
                        </w:hyperlink>
                        <w:r>
                          <w:t>e ricevere così importanti informazioni utili sia professionalmente che come cittadino-consumatore</w:t>
                        </w:r>
                      </w:p>
                      <w:p w:rsidR="00631611" w:rsidRDefault="00631611">
                        <w:pPr>
                          <w:pStyle w:val="text"/>
                        </w:pPr>
                        <w:r>
                          <w:t xml:space="preserve">Ricevi questa Newsletter perché ti sei abbonato. </w:t>
                        </w:r>
                        <w:r>
                          <w:br/>
                          <w:t xml:space="preserve">Non sei più interessato? </w:t>
                        </w:r>
                        <w:hyperlink w:history="1">
                          <w:proofErr w:type="spellStart"/>
                          <w:r>
                            <w:rPr>
                              <w:rStyle w:val="Collegamentoipertestuale"/>
                            </w:rPr>
                            <w:t>Disiscriviti</w:t>
                          </w:r>
                          <w:proofErr w:type="spellEnd"/>
                        </w:hyperlink>
                        <w:r>
                          <w:t>.</w:t>
                        </w:r>
                      </w:p>
                      <w:p w:rsidR="00631611" w:rsidRDefault="00631611">
                        <w:pPr>
                          <w:pStyle w:val="NormaleWeb"/>
                        </w:pPr>
                        <w:r>
                          <w:t> </w:t>
                        </w:r>
                      </w:p>
                    </w:tc>
                  </w:tr>
                </w:tbl>
                <w:p w:rsidR="00631611" w:rsidRDefault="0063161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316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  <w:gridCol w:w="4815"/>
                        </w:tblGrid>
                        <w:tr w:rsidR="00631611">
                          <w:trPr>
                            <w:tblCellSpacing w:w="0" w:type="dxa"/>
                          </w:trPr>
                          <w:tc>
                            <w:tcPr>
                              <w:tcW w:w="4935" w:type="dxa"/>
                              <w:vAlign w:val="center"/>
                              <w:hideMark/>
                            </w:tcPr>
                            <w:p w:rsidR="00631611" w:rsidRDefault="00631611">
                              <w:pPr>
                                <w:pStyle w:val="Titolo3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CCCCCC"/>
                                  <w:sz w:val="27"/>
                                  <w:szCs w:val="27"/>
                                </w:rPr>
                                <w:t>Impressum</w:t>
                              </w:r>
                              <w:proofErr w:type="spellEnd"/>
                            </w:p>
                            <w:p w:rsidR="00631611" w:rsidRDefault="00631611">
                              <w:pPr>
                                <w:pStyle w:val="text"/>
                              </w:pPr>
                              <w:r>
                                <w:t> </w:t>
                              </w:r>
                              <w:r>
                                <w:br/>
                                <w:t>Dipartimento della sanità e della socialità</w:t>
                              </w:r>
                              <w:r>
                                <w:br/>
                                <w:t>Divisione della salute pubblica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Laboratorio cantonale</w:t>
                              </w:r>
                              <w:r>
                                <w:br/>
                                <w:t>Via Mirasole 22</w:t>
                              </w:r>
                              <w:r>
                                <w:br/>
                                <w:t>6500 Bellinzona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1611" w:rsidRDefault="00631611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631611" w:rsidRDefault="00631611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631611" w:rsidRDefault="00631611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631611" w:rsidRDefault="00631611">
                              <w:pPr>
                                <w:pStyle w:val="text"/>
                              </w:pPr>
                              <w:r>
                                <w:t>tel. +41 91 814 61 11</w:t>
                              </w:r>
                              <w:r>
                                <w:br/>
                                <w:t>fax +41 91 814 61 19</w:t>
                              </w:r>
                              <w:r>
                                <w:br/>
                              </w:r>
                              <w:hyperlink r:id="rId11" w:history="1">
                                <w:r>
                                  <w:rPr>
                                    <w:rStyle w:val="Collegamentoipertestuale"/>
                                  </w:rPr>
                                  <w:t>dss-lc@ti.ch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12" w:history="1">
                                <w:r>
                                  <w:rPr>
                                    <w:rStyle w:val="Collegamentoipertestuale"/>
                                  </w:rPr>
                                  <w:t>www.ti.ch/laboratorio</w:t>
                                </w:r>
                              </w:hyperlink>
                            </w:p>
                          </w:tc>
                        </w:tr>
                      </w:tbl>
                      <w:p w:rsidR="00631611" w:rsidRDefault="0063161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611" w:rsidRDefault="006316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1611" w:rsidRDefault="0063161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7526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611" w:rsidRDefault="00631611">
            <w:pPr>
              <w:pStyle w:val="NormaleWeb"/>
            </w:pPr>
            <w:r>
              <w:t> </w:t>
            </w:r>
          </w:p>
        </w:tc>
      </w:tr>
    </w:tbl>
    <w:p w:rsidR="00390EDA" w:rsidRDefault="00390EDA">
      <w:bookmarkStart w:id="0" w:name="_GoBack"/>
      <w:bookmarkEnd w:id="0"/>
    </w:p>
    <w:sectPr w:rsidR="00390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16DA4"/>
    <w:multiLevelType w:val="multilevel"/>
    <w:tmpl w:val="0F2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77D0C"/>
    <w:multiLevelType w:val="multilevel"/>
    <w:tmpl w:val="12D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11"/>
    <w:rsid w:val="00390EDA"/>
    <w:rsid w:val="006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B99619-22C5-4AFC-9A86-2C0DFF2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611"/>
    <w:pPr>
      <w:spacing w:after="0" w:line="240" w:lineRule="auto"/>
    </w:pPr>
    <w:rPr>
      <w:rFonts w:ascii="Calibri" w:hAnsi="Calibri" w:cs="Calibri"/>
      <w:lang w:eastAsia="it-CH"/>
    </w:rPr>
  </w:style>
  <w:style w:type="paragraph" w:styleId="Titolo1">
    <w:name w:val="heading 1"/>
    <w:basedOn w:val="Normale"/>
    <w:link w:val="Titolo1Carattere"/>
    <w:uiPriority w:val="9"/>
    <w:qFormat/>
    <w:rsid w:val="00631611"/>
    <w:pPr>
      <w:outlineLvl w:val="0"/>
    </w:pPr>
    <w:rPr>
      <w:rFonts w:ascii="Arial" w:hAnsi="Arial" w:cs="Arial"/>
      <w:color w:val="333333"/>
      <w:kern w:val="36"/>
      <w:sz w:val="90"/>
      <w:szCs w:val="9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31611"/>
    <w:pPr>
      <w:spacing w:before="360" w:after="15"/>
      <w:outlineLvl w:val="1"/>
    </w:pPr>
    <w:rPr>
      <w:rFonts w:ascii="Arial" w:hAnsi="Arial" w:cs="Arial"/>
      <w:b/>
      <w:bCs/>
      <w:color w:val="D84C9B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31611"/>
    <w:pPr>
      <w:outlineLvl w:val="2"/>
    </w:pPr>
    <w:rPr>
      <w:rFonts w:ascii="Arial" w:hAnsi="Arial" w:cs="Arial"/>
      <w:b/>
      <w:bCs/>
      <w:color w:val="FFFFFF"/>
      <w:sz w:val="36"/>
      <w:szCs w:val="3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631611"/>
    <w:pPr>
      <w:spacing w:after="180"/>
      <w:outlineLvl w:val="3"/>
    </w:pPr>
    <w:rPr>
      <w:rFonts w:ascii="Arial" w:hAnsi="Arial" w:cs="Arial"/>
      <w:b/>
      <w:bCs/>
      <w:color w:val="333333"/>
      <w:sz w:val="27"/>
      <w:szCs w:val="27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631611"/>
    <w:pPr>
      <w:outlineLvl w:val="4"/>
    </w:pPr>
    <w:rPr>
      <w:rFonts w:ascii="Arial" w:hAnsi="Arial" w:cs="Arial"/>
      <w:b/>
      <w:bCs/>
      <w:color w:val="333333"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1611"/>
    <w:rPr>
      <w:rFonts w:ascii="Arial" w:hAnsi="Arial" w:cs="Arial"/>
      <w:color w:val="333333"/>
      <w:kern w:val="36"/>
      <w:sz w:val="90"/>
      <w:szCs w:val="90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1611"/>
    <w:rPr>
      <w:rFonts w:ascii="Arial" w:hAnsi="Arial" w:cs="Arial"/>
      <w:b/>
      <w:bCs/>
      <w:color w:val="D84C9B"/>
      <w:sz w:val="48"/>
      <w:szCs w:val="48"/>
      <w:lang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1611"/>
    <w:rPr>
      <w:rFonts w:ascii="Arial" w:hAnsi="Arial" w:cs="Arial"/>
      <w:b/>
      <w:bCs/>
      <w:color w:val="FFFFFF"/>
      <w:sz w:val="36"/>
      <w:szCs w:val="36"/>
      <w:lang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1611"/>
    <w:rPr>
      <w:rFonts w:ascii="Arial" w:hAnsi="Arial" w:cs="Arial"/>
      <w:b/>
      <w:bCs/>
      <w:color w:val="333333"/>
      <w:sz w:val="27"/>
      <w:szCs w:val="27"/>
      <w:lang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1611"/>
    <w:rPr>
      <w:rFonts w:ascii="Arial" w:hAnsi="Arial" w:cs="Arial"/>
      <w:b/>
      <w:bCs/>
      <w:color w:val="333333"/>
      <w:sz w:val="45"/>
      <w:szCs w:val="45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631611"/>
    <w:rPr>
      <w:strike w:val="0"/>
      <w:dstrike w:val="0"/>
      <w:color w:val="4B98D7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631611"/>
    <w:pPr>
      <w:spacing w:line="315" w:lineRule="atLeast"/>
    </w:pPr>
    <w:rPr>
      <w:rFonts w:ascii="Georgia" w:hAnsi="Georgia"/>
      <w:color w:val="333333"/>
      <w:sz w:val="24"/>
      <w:szCs w:val="24"/>
    </w:rPr>
  </w:style>
  <w:style w:type="paragraph" w:customStyle="1" w:styleId="text">
    <w:name w:val="text"/>
    <w:basedOn w:val="Normale"/>
    <w:uiPriority w:val="99"/>
    <w:semiHidden/>
    <w:rsid w:val="00631611"/>
    <w:pPr>
      <w:spacing w:after="45" w:line="240" w:lineRule="atLeast"/>
    </w:pPr>
    <w:rPr>
      <w:rFonts w:ascii="Arial" w:hAnsi="Arial" w:cs="Arial"/>
      <w:color w:val="333333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3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news.ti.ch/link.php?M=19838&amp;N=577&amp;L=1160&amp;F=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s.news.ti.ch/link.php?M=19838&amp;N=577&amp;L=10&amp;F=H" TargetMode="External"/><Relationship Id="rId12" Type="http://schemas.openxmlformats.org/officeDocument/2006/relationships/hyperlink" Target="http://dss.news.ti.ch/link.php?M=19838&amp;N=577&amp;L=10&amp;F=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ss-lc@ti.ch" TargetMode="External"/><Relationship Id="rId5" Type="http://schemas.openxmlformats.org/officeDocument/2006/relationships/hyperlink" Target="http://dss.news.ti.ch/link.php?M=19838&amp;N=577&amp;L=22&amp;F=H" TargetMode="External"/><Relationship Id="rId10" Type="http://schemas.openxmlformats.org/officeDocument/2006/relationships/hyperlink" Target="http://dss.news.ti.ch/link.php?M=19838&amp;N=577&amp;L=10&amp;F=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2019-11-05T10:09:00Z</dcterms:created>
  <dcterms:modified xsi:type="dcterms:W3CDTF">2019-11-05T10:10:00Z</dcterms:modified>
</cp:coreProperties>
</file>